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288"/>
        <w:jc w:val="both"/>
        <w:textAlignment w:val="baseline"/>
        <w:rPr>
          <w:rFonts w:ascii="Arial" w:hAnsi="Arial" w:cs="Arial"/>
          <w:b/>
          <w:b/>
          <w:bCs/>
          <w:sz w:val="24"/>
          <w:szCs w:val="24"/>
        </w:rPr>
      </w:pPr>
      <w:r>
        <w:rPr>
          <w:rFonts w:cs="Arial" w:ascii="Arial" w:hAnsi="Arial"/>
          <w:b/>
          <w:bCs/>
          <w:sz w:val="24"/>
          <w:szCs w:val="24"/>
        </w:rPr>
        <w:t xml:space="preserve">PREGÃO ELETRÔNICO Nº 5/2023.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CONTRATO ADMINISTRATIVO Nº 59/2023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LMC SILVEIRA SERVIÇOS DE ASSISTÊNCIA SOCIAL</w:t>
      </w:r>
      <w:r>
        <w:rPr>
          <w:rFonts w:cs="Arial" w:ascii="Arial" w:hAnsi="Arial"/>
          <w:bCs/>
          <w:sz w:val="24"/>
          <w:szCs w:val="24"/>
        </w:rPr>
        <w:t>, inscrita no CNPJ sob o nº 49.147.307/0001-09, com sede na cidade de C</w:t>
      </w:r>
      <w:r>
        <w:rPr>
          <w:rFonts w:cs="Arial" w:ascii="Arial" w:hAnsi="Arial"/>
          <w:bCs/>
          <w:sz w:val="24"/>
          <w:szCs w:val="24"/>
        </w:rPr>
        <w:t>ascavel</w:t>
      </w:r>
      <w:r>
        <w:rPr>
          <w:rFonts w:cs="Arial" w:ascii="Arial" w:hAnsi="Arial"/>
          <w:bCs/>
          <w:sz w:val="24"/>
          <w:szCs w:val="24"/>
        </w:rPr>
        <w:t>, na R</w:t>
      </w:r>
      <w:r>
        <w:rPr>
          <w:rFonts w:cs="Arial" w:ascii="Arial" w:hAnsi="Arial"/>
          <w:bCs/>
          <w:sz w:val="24"/>
          <w:szCs w:val="24"/>
        </w:rPr>
        <w:t>ua Rio Pajeu</w:t>
      </w:r>
      <w:r>
        <w:rPr>
          <w:rFonts w:cs="Arial" w:ascii="Arial" w:hAnsi="Arial"/>
          <w:bCs/>
          <w:sz w:val="24"/>
          <w:szCs w:val="24"/>
        </w:rPr>
        <w:t xml:space="preserve">, nº </w:t>
      </w:r>
      <w:r>
        <w:rPr>
          <w:rFonts w:cs="Arial" w:ascii="Arial" w:hAnsi="Arial"/>
          <w:bCs/>
          <w:sz w:val="24"/>
          <w:szCs w:val="24"/>
        </w:rPr>
        <w:t>219</w:t>
      </w:r>
      <w:r>
        <w:rPr>
          <w:rFonts w:cs="Arial" w:ascii="Arial" w:hAnsi="Arial"/>
          <w:bCs/>
          <w:sz w:val="24"/>
          <w:szCs w:val="24"/>
        </w:rPr>
        <w:t>, Bairro B</w:t>
      </w:r>
      <w:r>
        <w:rPr>
          <w:rFonts w:cs="Arial" w:ascii="Arial" w:hAnsi="Arial"/>
          <w:bCs/>
          <w:sz w:val="24"/>
          <w:szCs w:val="24"/>
        </w:rPr>
        <w:t>rasmadeira</w:t>
      </w:r>
      <w:r>
        <w:rPr>
          <w:rFonts w:cs="Arial" w:ascii="Arial" w:hAnsi="Arial"/>
          <w:bCs/>
          <w:sz w:val="24"/>
          <w:szCs w:val="24"/>
        </w:rPr>
        <w:t xml:space="preserve">, neste ato representada por </w:t>
      </w:r>
      <w:r>
        <w:rPr>
          <w:rFonts w:cs="Arial" w:ascii="Arial" w:hAnsi="Arial"/>
          <w:b/>
          <w:bCs/>
          <w:sz w:val="24"/>
          <w:szCs w:val="24"/>
        </w:rPr>
        <w:t>LOUISE MARIANE CORRÊA SILVEIRA</w:t>
      </w:r>
      <w:r>
        <w:rPr>
          <w:rFonts w:cs="Arial" w:ascii="Arial" w:hAnsi="Arial"/>
          <w:bCs/>
          <w:sz w:val="24"/>
          <w:szCs w:val="24"/>
        </w:rPr>
        <w:t xml:space="preserve">, CPF nº 024.952.720-02, RG nº </w:t>
      </w:r>
      <w:r>
        <w:rPr>
          <w:rFonts w:cs="Arial" w:ascii="Arial" w:hAnsi="Arial"/>
          <w:bCs/>
          <w:sz w:val="24"/>
          <w:szCs w:val="24"/>
        </w:rPr>
        <w:t>3102812264</w:t>
      </w:r>
      <w:r>
        <w:rPr>
          <w:rFonts w:cs="Arial" w:ascii="Arial" w:hAnsi="Arial"/>
          <w:bCs/>
          <w:sz w:val="24"/>
          <w:szCs w:val="24"/>
        </w:rPr>
        <w:t>, expedida por SSP/PR, doravante designada CONTRATADA, têm justo e contratado entre si, em decorrência do PREGÃO ELETRÔNICO Nº 5</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a objeto a CONTRATAÇÃO DE EMPRESA ESPECIALIZADA PARA PRESTAÇÃO DE SERVIÇOS DE ASSISTENTE SOCIAL PARA O SIMPR.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5</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CISOP pagará à CONTRATADA, em parcelas, o valor global de até R$ 47.988,00 </w:t>
      </w:r>
      <w:r>
        <w:rPr>
          <w:rFonts w:cs="Arial" w:ascii="Arial" w:hAnsi="Arial"/>
          <w:bCs/>
          <w:sz w:val="24"/>
          <w:szCs w:val="24"/>
        </w:rPr>
        <w:t>(quarenta e sete mil novecentos e oitenta e oito reais)</w:t>
      </w:r>
      <w:r>
        <w:rPr>
          <w:rFonts w:cs="Arial" w:ascii="Arial" w:hAnsi="Arial"/>
          <w:bCs/>
          <w:sz w:val="24"/>
          <w:szCs w:val="24"/>
        </w:rPr>
        <w:t>, referente aos itens do PREGÃO ELETRÔNICO Nº 5</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PRÓPRIA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SERVIÇOS DE ASSISTENTE SOCIAL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MÊS</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3.999,00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47.988,00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observadas as demais condições previstas neste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empresa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empresa ciente que por ocasião do pagamento será verificada pelo Setor Financeiro a situação da empresa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no corpo da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conta-corrente</w:t>
      </w:r>
      <w:r>
        <w:rPr>
          <w:rFonts w:cs="Arial" w:ascii="Arial" w:hAnsi="Arial"/>
          <w:bCs/>
          <w:sz w:val="24"/>
          <w:szCs w:val="24"/>
        </w:rPr>
        <w:t xml:space="preserve"> de pessoa jurídica deverá estar vinculada no nome da licitante vencedora.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 Os serviços serão prestados no SIMPR, no endereço à Rua Poente do Sol, nº 788, bairro Brasmadeira, na cidade de Cascavel - PR, correndo por conta da contratada todas as despesas de seguros, transporte, tributos, encargos trabalhistas e previdenciários, decorrentes do fornecimento.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4.2 -</w:t>
      </w:r>
      <w:r>
        <w:rPr>
          <w:rFonts w:cs="Arial" w:ascii="Arial" w:hAnsi="Arial"/>
          <w:bCs/>
          <w:sz w:val="24"/>
          <w:szCs w:val="24"/>
        </w:rPr>
        <w:t xml:space="preserve"> Para o cargo de ASSISTENTE SOCIAL, a jornada de trabalho será de 30 horas semanais, de segunda a sexta feira, período diurno, das 08h00min às 14h00min.</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4.2.1 - </w:t>
      </w:r>
      <w:r>
        <w:rPr>
          <w:rFonts w:cs="Arial" w:ascii="Arial" w:hAnsi="Arial"/>
          <w:bCs/>
          <w:sz w:val="24"/>
          <w:szCs w:val="24"/>
        </w:rPr>
        <w:t>Atribuições do cargo: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4.2.1.1 -</w:t>
      </w:r>
      <w:r>
        <w:rPr>
          <w:rFonts w:cs="Arial" w:ascii="Arial" w:hAnsi="Arial"/>
          <w:bCs/>
          <w:sz w:val="24"/>
          <w:szCs w:val="24"/>
        </w:rPr>
        <w:t xml:space="preserve"> Elaborar, executar e avaliar planos e programas de natureza edu-cativa em conjunto com a equipe multiprofissional, de prevenção e de biossegurança, envolven-do grupos, comunidades, indivíduos e outros; elaborar, executar e avaliar pesquisas visando à análise da realidade social, para subsidiar ações profissionais, comunitárias e governamentais; prestar assessoramento amplo aos movimentos sociais, no exercício e defesa dos direitos civis, públicos e sociais da comunidade; realizar estudos socioeconômicos que visem o interesse indi-vidual ou coletivo, para fins de benefícios e serviços sociais junto a órgão s públicos e privados; elaborar, executar e avaliar planos e programas de natureza social em unidades sociais; supervi-sionar o desempenho da práxis de estagiários de serviço social; levantar dados e indicadores de apoio aos programas sociais junto à comunidade, para implantação e execução dos mesmos; assessorar os servidores em assuntos de sua competência; elaborar relatórios demonstrativos das atividades da unidade; promover a organização de grupos de famílias na comunidade para discussão de problemas relativos saúde, identificação, atendimento, encaminhamento e integra-ção social das pessoas necessitadas; participar em encontros ou reuniões de associações co-munitárias ou grupos de convivência; participar de equipe multidisciplinar visando à programa-ção, execução e avaliação de atividades educativas e preventivas na área da saúde; realizar ori-entação social a familiares de pacientes, quando necessário; prestar atendimento individual quando necessário; participar de encontros, reuniões e seminários relacionados às atividades do CISOP; participar da equipe multidisciplinar visando à avaliação diagnostica e encaminhamento dos usuários; realizar orientação social a familiares de pacientes quando necessário; ministrar seminários e palestras sobre os assuntos relacionados às atividades da instituição; realizar visi-tas domiciliares quando necessário; organizar trabalhos preventivos, educativos, materiais edu-cativos e recurso áudio visuais; realizar atividades de humanização (cuidando do cuidador); rea-lizar em conjunto com a equipe aconselhamento pré e pós-teste em grupo ou individual; conferir os registros dos pacientes transfundidos diariamente, nas unidades conveniadas; captar doado-res de sangue realizando orientações de forma coletiva ou individual; divulgar através dos diver-sos meios de comunicação, prefeituras e entidades objetivando captação de doadores elevando a informação para a população em geral; realizar atividades administrativas do setor de serviço social; agendar e supervisionar coletas extramuros, com estrutura e orientações necessárias; rea-lizar atividades de grupo com familiares e pacientes com repasse de informações inerentes ao controle social e demais informações relacionadas a saúde mental. participar de grupos de matri-ciamento com suporte a profissionais e equipes de saúde mental para municípios de referência à instituição. desempenhar outras funções correlatas; desempenhar outras atividades que lhe se-jam atribuídas pelo Secretário Administrativo Geral, Diretor de Produção e Promoção à Saúde, Diretor Técnico ou Diretor Clínico, no âmbito de sua área de atuação ou ainda previsto no Estatu-to e/ou Regimento Interno do CISOP.</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4.3 - </w:t>
      </w:r>
      <w:r>
        <w:rPr>
          <w:rFonts w:cs="Arial" w:ascii="Arial" w:hAnsi="Arial"/>
          <w:bCs/>
          <w:sz w:val="24"/>
          <w:szCs w:val="24"/>
        </w:rPr>
        <w:t xml:space="preserve">Apurada, em qualquer tempo, divergência entre as especificações pré-fixadas e o fornecimento dos serviços,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4.4 -</w:t>
      </w:r>
      <w:r>
        <w:rPr>
          <w:rFonts w:cs="Arial" w:ascii="Arial" w:hAnsi="Arial"/>
          <w:bCs/>
          <w:sz w:val="24"/>
          <w:szCs w:val="24"/>
        </w:rPr>
        <w:t xml:space="preserve"> 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4.5 - </w:t>
      </w:r>
      <w:r>
        <w:rPr>
          <w:rFonts w:cs="Arial" w:ascii="Arial" w:hAnsi="Arial"/>
          <w:bCs/>
          <w:sz w:val="24"/>
          <w:szCs w:val="24"/>
        </w:rPr>
        <w:t>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4.6 - </w:t>
      </w:r>
      <w:r>
        <w:rPr>
          <w:rFonts w:cs="Arial" w:ascii="Arial" w:hAnsi="Arial"/>
          <w:bCs/>
          <w:sz w:val="24"/>
          <w:szCs w:val="24"/>
        </w:rPr>
        <w:t>Os serviços a serem entregues, quando da contratação, deverão corresponder às especificações da proposta, em total consonância com o edital, no que tange às suas características e padrão de qualidade, sob pena de rescisão contratual e penalidades cabíveis.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4.7 - </w:t>
      </w:r>
      <w:r>
        <w:rPr>
          <w:rFonts w:cs="Arial" w:ascii="Arial" w:hAnsi="Arial"/>
          <w:bCs/>
          <w:sz w:val="24"/>
          <w:szCs w:val="24"/>
        </w:rPr>
        <w:t xml:space="preserve">O CISOP não aceitará a exigência de faturamento mínimo, estipulação de horário ou outras restrições da CONTRATADA que venham a prejudicar 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4.8 - </w:t>
      </w:r>
      <w:r>
        <w:rPr>
          <w:rFonts w:cs="Arial" w:ascii="Arial" w:hAnsi="Arial"/>
          <w:bCs/>
          <w:sz w:val="24"/>
          <w:szCs w:val="24"/>
        </w:rPr>
        <w:t xml:space="preserve">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4.9 - </w:t>
      </w:r>
      <w:r>
        <w:rPr>
          <w:rFonts w:cs="Arial" w:ascii="Arial" w:hAnsi="Arial"/>
          <w:bCs/>
          <w:sz w:val="24"/>
          <w:szCs w:val="24"/>
        </w:rPr>
        <w:t xml:space="preserve">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4.10 -</w:t>
      </w:r>
      <w:r>
        <w:rPr>
          <w:rFonts w:cs="Arial" w:ascii="Arial" w:hAnsi="Arial"/>
          <w:bCs/>
          <w:sz w:val="24"/>
          <w:szCs w:val="24"/>
        </w:rPr>
        <w:t xml:space="preserve"> O recebimento pelo CONTRATANTE não modifica, restringe ou elide a plena responsabilidade da CONTRATADA de fornecer serviços de acordo com as condições contidas no Edital, seus Anexos e na proposta da CONTRATADA, nem invalida qualquer reclamação que o CONTRATANTE venha a fazer posteriormente.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4.11 - </w:t>
      </w:r>
      <w:r>
        <w:rPr>
          <w:rFonts w:cs="Arial" w:ascii="Arial" w:hAnsi="Arial"/>
          <w:bCs/>
          <w:sz w:val="24"/>
          <w:szCs w:val="24"/>
        </w:rPr>
        <w:t>O SIMPR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4.12 - </w:t>
      </w:r>
      <w:r>
        <w:rPr>
          <w:rFonts w:cs="Arial" w:ascii="Arial" w:hAnsi="Arial"/>
          <w:bCs/>
          <w:sz w:val="24"/>
          <w:szCs w:val="24"/>
        </w:rPr>
        <w:t>A empresa licitante vencedora deverá entregar o serviço cotado em total conformidade com 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w:t>
      </w:r>
      <w:r>
        <w:rPr>
          <w:rFonts w:cs="Arial" w:ascii="Arial" w:hAnsi="Arial"/>
          <w:bCs/>
          <w:sz w:val="24"/>
          <w:szCs w:val="24"/>
        </w:rPr>
        <w:t>01</w:t>
      </w:r>
      <w:r>
        <w:rPr>
          <w:rFonts w:cs="Arial" w:ascii="Arial" w:hAnsi="Arial"/>
          <w:bCs/>
          <w:sz w:val="24"/>
          <w:szCs w:val="24"/>
        </w:rPr>
        <w:t xml:space="preserve"> de </w:t>
      </w:r>
      <w:r>
        <w:rPr>
          <w:rFonts w:cs="Arial" w:ascii="Arial" w:hAnsi="Arial"/>
          <w:bCs/>
          <w:sz w:val="24"/>
          <w:szCs w:val="24"/>
        </w:rPr>
        <w:t>março</w:t>
      </w:r>
      <w:r>
        <w:rPr>
          <w:rFonts w:cs="Arial" w:ascii="Arial" w:hAnsi="Arial"/>
          <w:bCs/>
          <w:sz w:val="24"/>
          <w:szCs w:val="24"/>
        </w:rPr>
        <w:t xml:space="preserve"> de 2023 a 01 de março de 2024, ou até que se realize teste seletivo para contratação de funcionário efetivo, o que acontecer primeiro.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6.2 -</w:t>
      </w:r>
      <w:r>
        <w:rPr>
          <w:rFonts w:cs="Arial" w:ascii="Arial" w:hAnsi="Arial"/>
          <w:bCs/>
          <w:sz w:val="24"/>
          <w:szCs w:val="24"/>
        </w:rPr>
        <w:t xml:space="preserve"> O contrato será reajustado sempre que houver aumento salarial do profissional no SIMPR.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6.3 - </w:t>
      </w:r>
      <w:r>
        <w:rPr>
          <w:rFonts w:cs="Arial" w:ascii="Arial" w:hAnsi="Arial"/>
          <w:bCs/>
          <w:sz w:val="24"/>
          <w:szCs w:val="24"/>
        </w:rPr>
        <w:t>Ao SIMPR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6.4 - </w:t>
      </w:r>
      <w:r>
        <w:rPr>
          <w:rFonts w:cs="Arial" w:ascii="Arial" w:hAnsi="Arial"/>
          <w:bCs/>
          <w:sz w:val="24"/>
          <w:szCs w:val="24"/>
        </w:rPr>
        <w:t xml:space="preserve">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6.4.1 - </w:t>
      </w:r>
      <w:r>
        <w:rPr>
          <w:rFonts w:cs="Arial" w:ascii="Arial" w:hAnsi="Arial"/>
          <w:bCs/>
          <w:sz w:val="24"/>
          <w:szCs w:val="24"/>
        </w:rPr>
        <w:t xml:space="preserve">Por ato unilateral escrito da Administração,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O fornecedor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O fornecedor não atender à convocação para firmar Contrato decorrente do Pregão Eletrônico ou não retirar o instrumento equivalente no prazo estabelecido, sem justificativa aceita pelo CISOP.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O fornecedor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O fornecedor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O fornecedor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O fornecedor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O fornecedor ser declarado inidôneo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6.5 - </w:t>
      </w:r>
      <w:r>
        <w:rPr>
          <w:rFonts w:cs="Arial" w:ascii="Arial" w:hAnsi="Arial"/>
          <w:bCs/>
          <w:sz w:val="24"/>
          <w:szCs w:val="24"/>
        </w:rPr>
        <w:t xml:space="preserve">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6.6 - </w:t>
      </w:r>
      <w:r>
        <w:rPr>
          <w:rFonts w:cs="Arial" w:ascii="Arial" w:hAnsi="Arial"/>
          <w:bCs/>
          <w:sz w:val="24"/>
          <w:szCs w:val="24"/>
        </w:rPr>
        <w:t>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6.7 - </w:t>
      </w:r>
      <w:r>
        <w:rPr>
          <w:rFonts w:cs="Arial" w:ascii="Arial" w:hAnsi="Arial"/>
          <w:bCs/>
          <w:sz w:val="24"/>
          <w:szCs w:val="24"/>
        </w:rPr>
        <w:t xml:space="preserve">A comunicação do cancelamento do contrato, será feita por correspondência com recibo de entrega,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6.8 - </w:t>
      </w:r>
      <w:r>
        <w:rPr>
          <w:rFonts w:cs="Arial" w:ascii="Arial" w:hAnsi="Arial"/>
          <w:bCs/>
          <w:sz w:val="24"/>
          <w:szCs w:val="24"/>
        </w:rPr>
        <w:t xml:space="preserve">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6.9 - </w:t>
      </w:r>
      <w:r>
        <w:rPr>
          <w:rFonts w:cs="Arial" w:ascii="Arial" w:hAnsi="Arial"/>
          <w:bCs/>
          <w:sz w:val="24"/>
          <w:szCs w:val="24"/>
        </w:rPr>
        <w:t>Ocorrendo qualquer das hipóteses previstas, a Administração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6.10 -</w:t>
      </w:r>
      <w:r>
        <w:rPr>
          <w:rFonts w:cs="Arial" w:ascii="Arial" w:hAnsi="Arial"/>
          <w:bCs/>
          <w:sz w:val="24"/>
          <w:szCs w:val="24"/>
        </w:rPr>
        <w:t xml:space="preserve"> Durante a validade do contrato fica vedado qualquer reajustamento de preços, em atendimento ao § 1º, do artigo 2º, da Lei Federal nº 10.192/01, exceto em situações excepcionais.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6.11 - </w:t>
      </w:r>
      <w:r>
        <w:rPr>
          <w:rFonts w:cs="Arial" w:ascii="Arial" w:hAnsi="Arial"/>
          <w:bCs/>
          <w:sz w:val="24"/>
          <w:szCs w:val="24"/>
        </w:rPr>
        <w:t xml:space="preserve">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6.12 - </w:t>
      </w:r>
      <w:r>
        <w:rPr>
          <w:rFonts w:cs="Arial" w:ascii="Arial" w:hAnsi="Arial"/>
          <w:bCs/>
          <w:sz w:val="24"/>
          <w:szCs w:val="24"/>
        </w:rPr>
        <w:t>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6.13 -</w:t>
      </w:r>
      <w:r>
        <w:rPr>
          <w:rFonts w:cs="Arial" w:ascii="Arial" w:hAnsi="Arial"/>
          <w:bCs/>
          <w:sz w:val="24"/>
          <w:szCs w:val="24"/>
        </w:rPr>
        <w:t xml:space="preserve">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57"/>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3.3.90.39.05.00.00</w:t>
        <w:tab/>
        <w:t>SERVIÇOS TÉCNICOS PROFISSIONAIS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o CISOP ou 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8.1.2 -</w:t>
      </w:r>
      <w:r>
        <w:rPr>
          <w:rFonts w:cs="Arial" w:ascii="Arial" w:hAnsi="Arial"/>
          <w:bCs/>
          <w:sz w:val="24"/>
          <w:szCs w:val="24"/>
        </w:rPr>
        <w:t xml:space="preserve"> Assumir, também, a responsabilidade por todas as providências e obrigações estabelecidas na legislação específica de acidentes de trabalho, quando, em ocorrência da espécie, forem vítimas os seus empregados quando da execução do objeto do contrato ou em conexão com ele.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8.1.3 -</w:t>
      </w:r>
      <w:r>
        <w:rPr>
          <w:rFonts w:cs="Arial" w:ascii="Arial" w:hAnsi="Arial"/>
          <w:bCs/>
          <w:sz w:val="24"/>
          <w:szCs w:val="24"/>
        </w:rPr>
        <w:t xml:space="preserve"> Assumir todos os encargos de possível demanda trabalhista, civil ou penal, relacionadas à execução do contrato, originariamente ou vinculada por prevenção, conexão ou continência.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8.1.4 -</w:t>
      </w:r>
      <w:r>
        <w:rPr>
          <w:rFonts w:cs="Arial" w:ascii="Arial" w:hAnsi="Arial"/>
          <w:bCs/>
          <w:sz w:val="24"/>
          <w:szCs w:val="24"/>
        </w:rPr>
        <w:t xml:space="preserve"> Assumir, ainda, a responsabilidade pelos encargos fiscais e comerciais resultantes da adjudicação deste Pregão.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8.1.5 - </w:t>
      </w:r>
      <w:r>
        <w:rPr>
          <w:rFonts w:cs="Arial" w:ascii="Arial" w:hAnsi="Arial"/>
          <w:bCs/>
          <w:sz w:val="24"/>
          <w:szCs w:val="24"/>
        </w:rPr>
        <w:t xml:space="preserve">Responder, em relação aos seus empregados, por todas as despesas decorrentes da execução objeto deste contrato, tais como: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a) salários;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seguros de acidentes;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c) taxas, impostos e contribuições;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d) indenizações;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e) vale-refeição;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f) vale-transporte;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g) outras que porventura venham a ser criadas e exigidas pelo Governo.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8.1.6 -</w:t>
      </w:r>
      <w:r>
        <w:rPr>
          <w:rFonts w:cs="Arial" w:ascii="Arial" w:hAnsi="Arial"/>
          <w:bCs/>
          <w:sz w:val="24"/>
          <w:szCs w:val="24"/>
        </w:rPr>
        <w:t xml:space="preserve"> A inadimplência da licitante, com referência aos encargos estabelecidos na condição anterior, não transfere a responsabilidade por seu pagamento ao CISOP ou para o SIMPR, nem poderá onerar o objeto deste Pregão, razão pela qual a licitante vencedora renuncia expressamente a qualquer vínculo de solidariedade, ativa ou passiva, com o CISOP ou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8.1.7 - </w:t>
      </w:r>
      <w:r>
        <w:rPr>
          <w:rFonts w:cs="Arial" w:ascii="Arial" w:hAnsi="Arial"/>
          <w:bCs/>
          <w:sz w:val="24"/>
          <w:szCs w:val="24"/>
        </w:rPr>
        <w:t xml:space="preserve">Deverá a licitante vencedora observar, também, o seguinte: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8.1.7.1 -</w:t>
      </w:r>
      <w:r>
        <w:rPr>
          <w:rFonts w:cs="Arial" w:ascii="Arial" w:hAnsi="Arial"/>
          <w:bCs/>
          <w:sz w:val="24"/>
          <w:szCs w:val="24"/>
        </w:rPr>
        <w:t xml:space="preserve"> É expressamente proibida veiculação de publicidade acerca do contrato, salvo se houver prévia autorização do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8.1.7.2 - </w:t>
      </w:r>
      <w:r>
        <w:rPr>
          <w:rFonts w:cs="Arial" w:ascii="Arial" w:hAnsi="Arial"/>
          <w:bCs/>
          <w:sz w:val="24"/>
          <w:szCs w:val="24"/>
        </w:rPr>
        <w:t>É vedada a subcontratação de outra empresa para o fornecimento do objeto deste Pregão.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8.1.8 - </w:t>
      </w:r>
      <w:r>
        <w:rPr>
          <w:rFonts w:cs="Arial" w:ascii="Arial" w:hAnsi="Arial"/>
          <w:bCs/>
          <w:sz w:val="24"/>
          <w:szCs w:val="24"/>
        </w:rPr>
        <w:t>Demonstrar sua capacidade técnica para realização dos procedimentos, através da apresentação de toda documentação relativa.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8.1.9 - </w:t>
      </w:r>
      <w:r>
        <w:rPr>
          <w:rFonts w:cs="Arial" w:ascii="Arial" w:hAnsi="Arial"/>
          <w:bCs/>
          <w:sz w:val="24"/>
          <w:szCs w:val="24"/>
        </w:rPr>
        <w:t>A designação de Responsável Técnico pelos serviços da empresa, conforme legislação vigente.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8.1.10 - </w:t>
      </w:r>
      <w:r>
        <w:rPr>
          <w:rFonts w:cs="Arial" w:ascii="Arial" w:hAnsi="Arial"/>
          <w:bCs/>
          <w:sz w:val="24"/>
          <w:szCs w:val="24"/>
        </w:rPr>
        <w:t>Providenciar eventuais substituições e reforços, para cumprimento de escalas de plantões e/ou serviços necessários.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8.1.11 -</w:t>
      </w:r>
      <w:r>
        <w:rPr>
          <w:rFonts w:cs="Arial" w:ascii="Arial" w:hAnsi="Arial"/>
          <w:bCs/>
          <w:sz w:val="24"/>
          <w:szCs w:val="24"/>
        </w:rPr>
        <w:t xml:space="preserve"> Encaminhar com antecedência comunicação de substituição para conhecimento e apreciação do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8.1.12 - </w:t>
      </w:r>
      <w:r>
        <w:rPr>
          <w:rFonts w:cs="Arial" w:ascii="Arial" w:hAnsi="Arial"/>
          <w:bCs/>
          <w:sz w:val="24"/>
          <w:szCs w:val="24"/>
        </w:rPr>
        <w:t>Substituir membro da equipe que, à critério do CONTRATANTE, não esteja atuando em cumprimento do objeto contratado e das rotinas estabelecidas.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8.1.13 - </w:t>
      </w:r>
      <w:r>
        <w:rPr>
          <w:rFonts w:cs="Arial" w:ascii="Arial" w:hAnsi="Arial"/>
          <w:bCs/>
          <w:sz w:val="24"/>
          <w:szCs w:val="24"/>
        </w:rPr>
        <w:t>Se a CONTRATADA deixar de executar os serviços, objeto do presente Contrato, obrigando a CONTRATANTE, face às necessidades da mesma, a contratá-lo no mercado, fica obrigada cobrir a diferença a maior, eventualmente ocorrida, sem prejuízo das demais penalidades previstas na legislação em vigor.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8.1.14 -</w:t>
      </w:r>
      <w:r>
        <w:rPr>
          <w:rFonts w:cs="Arial" w:ascii="Arial" w:hAnsi="Arial"/>
          <w:bCs/>
          <w:sz w:val="24"/>
          <w:szCs w:val="24"/>
        </w:rPr>
        <w:t xml:space="preserve"> Adimplir todos os salários e encargos diretos e indiretos dos profissionais que integram sua equipe de trabalho.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8.1.15 -</w:t>
      </w:r>
      <w:r>
        <w:rPr>
          <w:rFonts w:cs="Arial" w:ascii="Arial" w:hAnsi="Arial"/>
          <w:bCs/>
          <w:sz w:val="24"/>
          <w:szCs w:val="24"/>
        </w:rPr>
        <w:t xml:space="preserve"> Comprovar mensalmente a quitação das contribuições previdenciárias, trabalhistas e fiscais.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8.1.16 - </w:t>
      </w:r>
      <w:r>
        <w:rPr>
          <w:rFonts w:cs="Arial" w:ascii="Arial" w:hAnsi="Arial"/>
          <w:bCs/>
          <w:sz w:val="24"/>
          <w:szCs w:val="24"/>
        </w:rPr>
        <w:t>Contribuir para o aperfeiçoamento das rotinas da Instituição, mantendo postura facilitadora do trabalho em equipe, respeitando protocolos, fluxos e orientações do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8.1.17 -</w:t>
      </w:r>
      <w:r>
        <w:rPr>
          <w:rFonts w:cs="Arial" w:ascii="Arial" w:hAnsi="Arial"/>
          <w:bCs/>
          <w:sz w:val="24"/>
          <w:szCs w:val="24"/>
        </w:rPr>
        <w:t xml:space="preserve"> Informar ao CONTRATANTE, por escrito e imediatamente, sobre qualquer anormalidade verificada na execução do serviço, bem como qualquer fato que possa colocar em risco a qualidade da execução do serviço.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8.1.18 - </w:t>
      </w:r>
      <w:r>
        <w:rPr>
          <w:rFonts w:cs="Arial" w:ascii="Arial" w:hAnsi="Arial"/>
          <w:bCs/>
          <w:sz w:val="24"/>
          <w:szCs w:val="24"/>
        </w:rPr>
        <w:t>Realizar os procedimentos agendados definidos pelo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8.1.19 - </w:t>
      </w:r>
      <w:r>
        <w:rPr>
          <w:rFonts w:cs="Arial" w:ascii="Arial" w:hAnsi="Arial"/>
          <w:bCs/>
          <w:sz w:val="24"/>
          <w:szCs w:val="24"/>
        </w:rPr>
        <w:t>Efetuar os procedimentos com materiais e medicamentos padronizados pelo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8.1.20 -</w:t>
      </w:r>
      <w:r>
        <w:rPr>
          <w:rFonts w:cs="Arial" w:ascii="Arial" w:hAnsi="Arial"/>
          <w:bCs/>
          <w:sz w:val="24"/>
          <w:szCs w:val="24"/>
        </w:rPr>
        <w:t xml:space="preserve"> Zelar pelo patrimônio da CONTRATANTE, assim como usar correta e cuidadosamente o equipamento colocado à sua disposição, com vistas à adequada conservação, não respondendo por avarias ou consertos, salvo os casos de comprovada responsabilidade de seus integrantes por negligência, imprudência ou imperícia.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8.1.21 - </w:t>
      </w:r>
      <w:r>
        <w:rPr>
          <w:rFonts w:cs="Arial" w:ascii="Arial" w:hAnsi="Arial"/>
          <w:bCs/>
          <w:sz w:val="24"/>
          <w:szCs w:val="24"/>
        </w:rPr>
        <w:t xml:space="preserve">Utilizar adequadamente os equipamentos, materiais e medicamentos padronizados no SIMPR, zelando pelo uso racional dos recursos disponíveis.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8.1.22 - </w:t>
      </w:r>
      <w:r>
        <w:rPr>
          <w:rFonts w:cs="Arial" w:ascii="Arial" w:hAnsi="Arial"/>
          <w:bCs/>
          <w:sz w:val="24"/>
          <w:szCs w:val="24"/>
        </w:rPr>
        <w:t xml:space="preserve">Disponibilizar para a coordenação, relatório de produção do mês para conferência e posterior autorização de emissão de nota fiscal no primeiro dia útil do mês subsequente à prestação dos serviços.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8.1.23 - </w:t>
      </w:r>
      <w:r>
        <w:rPr>
          <w:rFonts w:cs="Arial" w:ascii="Arial" w:hAnsi="Arial"/>
          <w:bCs/>
          <w:sz w:val="24"/>
          <w:szCs w:val="24"/>
        </w:rPr>
        <w:t>Manter durante toda a execução do contrato, em compatibilidade com as obrigações assumidas, todas as condições de habilitação e qualificação exigidas na licitação.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8.1.24 -</w:t>
      </w:r>
      <w:r>
        <w:rPr>
          <w:rFonts w:cs="Arial" w:ascii="Arial" w:hAnsi="Arial"/>
          <w:bCs/>
          <w:sz w:val="24"/>
          <w:szCs w:val="24"/>
        </w:rPr>
        <w:t xml:space="preserve"> Indicar preposto para representa- lá durante a execução do contrato.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8.1.25 - </w:t>
      </w:r>
      <w:r>
        <w:rPr>
          <w:rFonts w:cs="Arial" w:ascii="Arial" w:hAnsi="Arial"/>
          <w:bCs/>
          <w:sz w:val="24"/>
          <w:szCs w:val="24"/>
        </w:rPr>
        <w:t xml:space="preserve">Sujeitar-se a mais ampla e irrestrita fiscalização por parte da CONTRATANTE por intermédio de preposto constituído a acompanhar a execução do Contrato, prestando todos os esclarecimentos que lhe forem solicitados e atendendo às reclamações formuladas.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8.1.26 -</w:t>
      </w:r>
      <w:r>
        <w:rPr>
          <w:rFonts w:cs="Arial" w:ascii="Arial" w:hAnsi="Arial"/>
          <w:bCs/>
          <w:sz w:val="24"/>
          <w:szCs w:val="24"/>
        </w:rPr>
        <w:t xml:space="preserve"> A empresa contratada deverá assumir plena responsabilidade legal, administrativa e técnica pela perfeita execução dos serviços, responsabilizando-se civil e criminalmente por todos os atos e omissões que seus empregados ou prepostos, direta ou indiretamente, cometerem na execução dos serviços.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8.1.27 -</w:t>
      </w:r>
      <w:r>
        <w:rPr>
          <w:rFonts w:cs="Arial" w:ascii="Arial" w:hAnsi="Arial"/>
          <w:bCs/>
          <w:sz w:val="24"/>
          <w:szCs w:val="24"/>
        </w:rPr>
        <w:t xml:space="preserve"> Responder por quaisquer danos ou prejuízos que venha, direta ou indiretamente, por sua culpa ou dolo, a causar ao SIMPR ou a terceiros, durante a execução do contrato de fornecimento, inclusive por atos praticados por seus funcionários, ficando, assim, afastada qualquer responsabilidade do SIMPR e CISOP, podendo este, para o fim de garantir eventuais ressarcimentos, adotar as seguintes providências: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CISOP.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8.1.28 -</w:t>
      </w:r>
      <w:r>
        <w:rPr>
          <w:rFonts w:cs="Arial" w:ascii="Arial" w:hAnsi="Arial"/>
          <w:bCs/>
          <w:sz w:val="24"/>
          <w:szCs w:val="24"/>
        </w:rPr>
        <w:t xml:space="preserve">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8.1.29 - </w:t>
      </w:r>
      <w:r>
        <w:rPr>
          <w:rFonts w:cs="Arial" w:ascii="Arial" w:hAnsi="Arial"/>
          <w:bCs/>
          <w:sz w:val="24"/>
          <w:szCs w:val="24"/>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8.1.30 -</w:t>
      </w:r>
      <w:r>
        <w:rPr>
          <w:rFonts w:cs="Arial" w:ascii="Arial" w:hAnsi="Arial"/>
          <w:bCs/>
          <w:sz w:val="24"/>
          <w:szCs w:val="24"/>
        </w:rPr>
        <w:t xml:space="preserve"> Pela fidelidade e legitimidade das informações e dos documentos apresentados em qualquer fase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8.1.31 -</w:t>
      </w:r>
      <w:r>
        <w:rPr>
          <w:rFonts w:cs="Arial" w:ascii="Arial" w:hAnsi="Arial"/>
          <w:bCs/>
          <w:sz w:val="24"/>
          <w:szCs w:val="24"/>
        </w:rPr>
        <w:t xml:space="preserve">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8.1.32 - </w:t>
      </w:r>
      <w:r>
        <w:rPr>
          <w:rFonts w:cs="Arial" w:ascii="Arial" w:hAnsi="Arial"/>
          <w:bCs/>
          <w:sz w:val="24"/>
          <w:szCs w:val="24"/>
        </w:rPr>
        <w:t xml:space="preserve">Pelo cumprimento dos prazos e demais exigências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8.1.33 -</w:t>
      </w:r>
      <w:r>
        <w:rPr>
          <w:rFonts w:cs="Arial" w:ascii="Arial" w:hAnsi="Arial"/>
          <w:bCs/>
          <w:sz w:val="24"/>
          <w:szCs w:val="24"/>
        </w:rPr>
        <w:t xml:space="preserve">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8.1.34 - </w:t>
      </w:r>
      <w:r>
        <w:rPr>
          <w:rFonts w:cs="Arial" w:ascii="Arial" w:hAnsi="Arial"/>
          <w:bCs/>
          <w:sz w:val="24"/>
          <w:szCs w:val="24"/>
        </w:rPr>
        <w:t xml:space="preserve">Efetuar a entrega dos serviços em perfeitas condições, em estrita observância das especificações deste instrumento, acompanhados das respectivas Notas Ficais Eletrônicas.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8.1.35 -</w:t>
      </w:r>
      <w:r>
        <w:rPr>
          <w:rFonts w:cs="Arial" w:ascii="Arial" w:hAnsi="Arial"/>
          <w:bCs/>
          <w:sz w:val="24"/>
          <w:szCs w:val="24"/>
        </w:rPr>
        <w:t xml:space="preserve"> O CISOP não aceitará, sob pretexto algum, a transferência de responsabilidade da CONTRATADA para outras entidades, sejam fabricantes, técnicos ou quaisquer outros.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t>8.2 - DAS OBRIGAÇÕES DO SIMPR:</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8.2.1 - </w:t>
      </w:r>
      <w:r>
        <w:rPr>
          <w:rFonts w:cs="Arial" w:ascii="Arial" w:hAnsi="Arial"/>
          <w:bCs/>
          <w:sz w:val="24"/>
          <w:szCs w:val="24"/>
        </w:rPr>
        <w:t>Conferir o relatório de produção enviado e liberar a emissão da nota fiscal.</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8.2.2 - </w:t>
      </w:r>
      <w:r>
        <w:rPr>
          <w:rFonts w:cs="Arial" w:ascii="Arial" w:hAnsi="Arial"/>
          <w:bCs/>
          <w:sz w:val="24"/>
          <w:szCs w:val="24"/>
        </w:rPr>
        <w:t>Efetuar controle interno dos procedimentos realizados em que foram necessários à prestação do serviço da CONTRATADA.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8.2.3 - </w:t>
      </w:r>
      <w:r>
        <w:rPr>
          <w:rFonts w:cs="Arial" w:ascii="Arial" w:hAnsi="Arial"/>
          <w:bCs/>
          <w:sz w:val="24"/>
          <w:szCs w:val="24"/>
        </w:rPr>
        <w:t>Realizar o pagamento dentro dos prazos Condições de Execução do Serviço.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8.2.4 - </w:t>
      </w:r>
      <w:r>
        <w:rPr>
          <w:rFonts w:cs="Arial" w:ascii="Arial" w:hAnsi="Arial"/>
          <w:bCs/>
          <w:sz w:val="24"/>
          <w:szCs w:val="24"/>
        </w:rPr>
        <w:t>O SIMPR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8.2.5 - </w:t>
      </w:r>
      <w:r>
        <w:rPr>
          <w:rFonts w:cs="Arial" w:ascii="Arial" w:hAnsi="Arial"/>
          <w:bCs/>
          <w:sz w:val="24"/>
          <w:szCs w:val="24"/>
        </w:rPr>
        <w:t xml:space="preserve">Comunicar à licitante vencedora qualquer irregularidade na entrega do produto e interromper imediatamente o fornecimento, se for o caso.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8.2.6 -</w:t>
      </w:r>
      <w:r>
        <w:rPr>
          <w:rFonts w:cs="Arial" w:ascii="Arial" w:hAnsi="Arial"/>
          <w:bCs/>
          <w:sz w:val="24"/>
          <w:szCs w:val="24"/>
        </w:rPr>
        <w:t xml:space="preserve"> Prestar as informações e os esclarecimentos que venham a ser solicitados pela licitante vencedora.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8.2.7 -</w:t>
      </w:r>
      <w:r>
        <w:rPr>
          <w:rFonts w:cs="Arial" w:ascii="Arial" w:hAnsi="Arial"/>
          <w:bCs/>
          <w:sz w:val="24"/>
          <w:szCs w:val="24"/>
        </w:rPr>
        <w:t xml:space="preserve"> Impedir que terceiros forneçam o objeto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8.2.8 - </w:t>
      </w:r>
      <w:r>
        <w:rPr>
          <w:rFonts w:cs="Arial" w:ascii="Arial" w:hAnsi="Arial"/>
          <w:bCs/>
          <w:sz w:val="24"/>
          <w:szCs w:val="24"/>
        </w:rPr>
        <w:t xml:space="preserve">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8.2.9 - </w:t>
      </w:r>
      <w:r>
        <w:rPr>
          <w:rFonts w:cs="Arial" w:ascii="Arial" w:hAnsi="Arial"/>
          <w:bCs/>
          <w:sz w:val="24"/>
          <w:szCs w:val="24"/>
        </w:rPr>
        <w:t>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8.2.10 - </w:t>
      </w:r>
      <w:r>
        <w:rPr>
          <w:rFonts w:cs="Arial" w:ascii="Arial" w:hAnsi="Arial"/>
          <w:bCs/>
          <w:sz w:val="24"/>
          <w:szCs w:val="24"/>
        </w:rPr>
        <w:t>Não obstante a EMPRESA VENCEDORA DA LICITAÇÃO seja a única e exclusiva responsável pela execução de todos os serviços, o SIMPR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8.2.11 - </w:t>
      </w:r>
      <w:r>
        <w:rPr>
          <w:rFonts w:cs="Arial" w:ascii="Arial" w:hAnsi="Arial"/>
          <w:bCs/>
          <w:sz w:val="24"/>
          <w:szCs w:val="24"/>
        </w:rPr>
        <w:t>Acompanhar a execução, fiscalização e avaliação dos serviços através de responsável do SIMPR.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contratante,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deste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do contratado que contenha a relação detalhada dos mesmos, de acordo com o estabelecido neste Termo de Referência, informando as respectivas quantidades e especificações técnicas, tais como: bolsas de estágio ativas, novos contratos, atendimentos realizados, ações de desenvolvimento.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contratante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pelo contratado,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do contratado a avaliação da execução do objeto ou, se for o caso, a avaliação de desempenho e da qualidade da prestação dos serviços realizada.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o próprio contratado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9.12 </w:t>
      </w:r>
      <w:r>
        <w:rPr>
          <w:rFonts w:cs="Arial" w:ascii="Arial" w:hAnsi="Arial"/>
          <w:bCs/>
          <w:sz w:val="24"/>
          <w:szCs w:val="24"/>
        </w:rPr>
        <w:t>- O contratado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ao contratado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CISOP ou do SIMPR, referente à irregularidade ou falhas, não exime o contratado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corresponsabilidade do contratante ou de seus agentes, gestores e fiscais, de conformidade com o art. 70 da Lei nº8.666/1993.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CISOP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PRIMEIRA - DA MULTA: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CISOP,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CISOP,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CISOP. As sanções dos itens V e VI serão aplicadas pela Presidência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5</w:t>
      </w:r>
      <w:r>
        <w:rPr>
          <w:rFonts w:cs="Arial" w:ascii="Arial" w:hAnsi="Arial"/>
          <w:b w:val="false"/>
          <w:bCs w:val="false"/>
          <w:sz w:val="24"/>
          <w:szCs w:val="24"/>
        </w:rPr>
        <w:t>/2023, bem como a</w:t>
      </w:r>
      <w:r>
        <w:rPr>
          <w:rFonts w:cs="Arial" w:ascii="Arial" w:hAnsi="Arial"/>
          <w:bCs/>
          <w:sz w:val="24"/>
          <w:szCs w:val="24"/>
        </w:rPr>
        <w:t xml:space="preserve"> documentação e a proposta comercial da CONTRATADA, no que estas não conflitarem com o Contrato e com o Edital.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27 de fevereiro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LOUISE MARIANE CORRÊA SILVEIRA</w:t>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EDER DA SILVA</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w:t>
      </w:r>
      <w:r>
        <w:rPr>
          <w:rFonts w:cs="Arial" w:ascii="Arial" w:hAnsi="Arial"/>
          <w:bCs/>
          <w:sz w:val="24"/>
          <w:szCs w:val="24"/>
        </w:rPr>
        <w:t xml:space="preserve">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30">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15</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15</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9540" cy="12033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479540" cy="1203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182</TotalTime>
  <Application>LibreOffice/6.4.4.2$Windows_X86_64 LibreOffice_project/3d775be2011f3886db32dfd395a6a6d1ca2630ff</Application>
  <Pages>15</Pages>
  <Words>5065</Words>
  <Characters>28608</Characters>
  <CharactersWithSpaces>33825</CharactersWithSpaces>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2023-02-27T10:12:30Z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